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before="0" w:after="80"/>
        <w:jc w:val="center"/>
      </w:pPr>
      <w:r>
        <w:rPr>
          <w:rFonts w:ascii="Microsoft YaHei" w:hAnsi="Microsoft YaHei" w:eastAsia="Microsoft YaHei"/>
          <w:b/>
          <w:color w:val="0B2545"/>
          <w:sz w:val="48"/>
        </w:rPr>
        <w:t>物质的三态变化</w:t>
      </w:r>
    </w:p>
    <w:p>
      <w:pPr>
        <w:spacing w:before="0" w:after="160"/>
        <w:jc w:val="center"/>
      </w:pPr>
      <w:r>
        <w:rPr>
          <w:rFonts w:ascii="Microsoft YaHei" w:hAnsi="Microsoft YaHei" w:eastAsia="Microsoft YaHei"/>
          <w:b/>
          <w:color w:val="2E74B5"/>
          <w:sz w:val="22"/>
        </w:rPr>
        <w:t>学生复习思维导图｜总览 + 分模块详图</w:t>
      </w:r>
    </w:p>
    <w:p>
      <w:pPr>
        <w:spacing w:before="0" w:after="160"/>
        <w:jc w:val="center"/>
      </w:pPr>
      <w:r>
        <w:rPr>
          <w:rFonts w:ascii="Microsoft YaHei" w:hAnsi="Microsoft YaHei" w:eastAsia="Microsoft YaHei"/>
          <w:b w:val="0"/>
          <w:color w:val="5D6B7E"/>
          <w:sz w:val="19"/>
        </w:rPr>
        <w:t>讲义来源：自动化验收测试-物质的三态变化.docx</w:t>
      </w:r>
    </w:p>
    <w:p>
      <w:pPr>
        <w:keepLines/>
        <w:spacing w:before="0"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5448300"/>
            <wp:docPr id="1" name="Picture 1" descr="物质的三态变化总览思维导图，包含三态粒子模型、六种物态变化、水循环和高频易错点四个分支。" title="物质的三态变化总览思维导图，包含三态粒子模型、六种物态变化、水循环和高频易错点四个分支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总览图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8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rFonts w:ascii="Microsoft YaHei" w:hAnsi="Microsoft YaHei" w:eastAsia="Microsoft YaHei"/>
          <w:b/>
          <w:color w:val="9B6A00"/>
          <w:sz w:val="19"/>
        </w:rPr>
        <w:t>标记说明：★ 为必须优先掌握的核心考点</w:t>
      </w:r>
    </w:p>
    <w:p>
      <w:r>
        <w:br w:type="page"/>
      </w:r>
    </w:p>
    <w:p>
      <w:pPr>
        <w:pStyle w:val="Heading1"/>
        <w:keepNext/>
      </w:pPr>
      <w:r>
        <w:rPr>
          <w:rFonts w:ascii="Microsoft YaHei" w:hAnsi="Microsoft YaHei" w:eastAsia="Microsoft YaHei"/>
          <w:b/>
          <w:color w:val="2E74B5"/>
          <w:sz w:val="32"/>
        </w:rPr>
        <w:t>模块一｜三种状态的粒子模型</w:t>
      </w:r>
    </w:p>
    <w:p>
      <w:pPr>
        <w:keepNext/>
        <w:spacing w:before="0" w:after="140"/>
      </w:pPr>
      <w:r>
        <w:rPr>
          <w:rFonts w:ascii="Microsoft YaHei" w:hAnsi="Microsoft YaHei" w:eastAsia="Microsoft YaHei"/>
          <w:b w:val="0"/>
          <w:color w:val="5D6B7E"/>
          <w:sz w:val="20"/>
        </w:rPr>
        <w:t>从粒子排列、运动方式和宏观特征三个角度对比固态、液态和气态。</w:t>
      </w:r>
    </w:p>
    <w:p>
      <w:pPr>
        <w:keepLines/>
        <w:spacing w:before="0"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5448300"/>
            <wp:docPr id="2" name="Picture 2" descr="三态粒子模型详图，对比固态、液态和气态的粒子排列、运动和宏观特点。" title="三态粒子模型详图，对比固态、液态和气态的粒子排列、运动和宏观特点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三态粒子模型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8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rPr>
          <w:rFonts w:ascii="Microsoft YaHei" w:hAnsi="Microsoft YaHei" w:eastAsia="Microsoft YaHei"/>
          <w:b/>
          <w:color w:val="2E74B5"/>
          <w:sz w:val="32"/>
        </w:rPr>
        <w:t>模块二｜六种物态变化与能量规律</w:t>
      </w:r>
    </w:p>
    <w:p>
      <w:pPr>
        <w:keepNext/>
        <w:spacing w:before="0" w:after="140"/>
      </w:pPr>
      <w:r>
        <w:rPr>
          <w:rFonts w:ascii="Microsoft YaHei" w:hAnsi="Microsoft YaHei" w:eastAsia="Microsoft YaHei"/>
          <w:b w:val="0"/>
          <w:color w:val="5D6B7E"/>
          <w:sz w:val="20"/>
        </w:rPr>
        <w:t>先判断状态变化方向，再用“更自由吸热、更受约束放热”的主线判断能量。</w:t>
      </w:r>
    </w:p>
    <w:p>
      <w:pPr>
        <w:keepLines/>
        <w:spacing w:before="0"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5448300"/>
            <wp:docPr id="3" name="Picture 3" descr="六种物态变化与能量规律详图，展示固态、液态、气态之间的熔化、凝固、汽化、液化、升华和凝华。" title="六种物态变化与能量规律详图，展示固态、液态、气态之间的熔化、凝固、汽化、液化、升华和凝华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六种变化与能量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8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rPr>
          <w:rFonts w:ascii="Microsoft YaHei" w:hAnsi="Microsoft YaHei" w:eastAsia="Microsoft YaHei"/>
          <w:b/>
          <w:color w:val="2E74B5"/>
          <w:sz w:val="32"/>
        </w:rPr>
        <w:t>模块三｜自然界中的水循环</w:t>
      </w:r>
    </w:p>
    <w:p>
      <w:pPr>
        <w:keepNext/>
        <w:spacing w:before="0" w:after="140"/>
      </w:pPr>
      <w:r>
        <w:rPr>
          <w:rFonts w:ascii="Microsoft YaHei" w:hAnsi="Microsoft YaHei" w:eastAsia="Microsoft YaHei"/>
          <w:b w:val="0"/>
          <w:color w:val="5D6B7E"/>
          <w:sz w:val="20"/>
        </w:rPr>
        <w:t>沿“汽化—液化或凝华—降水—回到地表”的顺序解释自然现象。</w:t>
      </w:r>
    </w:p>
    <w:p>
      <w:pPr>
        <w:keepLines/>
        <w:spacing w:before="0"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5448300"/>
            <wp:docPr id="4" name="Picture 4" descr="水循环详图，展示地表水汽化、水蒸气遇冷液化或凝华、形成降水并回到地表的循环。" title="水循环详图，展示地表水汽化、水蒸气遇冷液化或凝华、形成降水并回到地表的循环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水循环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8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rPr>
          <w:rFonts w:ascii="Microsoft YaHei" w:hAnsi="Microsoft YaHei" w:eastAsia="Microsoft YaHei"/>
          <w:b/>
          <w:color w:val="2E74B5"/>
          <w:sz w:val="32"/>
        </w:rPr>
        <w:t>模块四｜高频易错点与复习自检</w:t>
      </w:r>
    </w:p>
    <w:p>
      <w:pPr>
        <w:keepNext/>
        <w:spacing w:before="0" w:after="140"/>
      </w:pPr>
      <w:r>
        <w:rPr>
          <w:rFonts w:ascii="Microsoft YaHei" w:hAnsi="Microsoft YaHei" w:eastAsia="Microsoft YaHei"/>
          <w:b w:val="0"/>
          <w:color w:val="5D6B7E"/>
          <w:sz w:val="20"/>
        </w:rPr>
        <w:t>重点辨析白雾、水蒸气、蒸发、沸腾、霜等易混概念，并用三问检查掌握程度。</w:t>
      </w:r>
    </w:p>
    <w:p>
      <w:pPr>
        <w:keepLines/>
        <w:spacing w:before="0" w:after="120"/>
        <w:jc w:val="center"/>
      </w:pPr>
      <w:r>
        <w:drawing>
          <wp:inline xmlns:a="http://schemas.openxmlformats.org/drawingml/2006/main" xmlns:pic="http://schemas.openxmlformats.org/drawingml/2006/picture">
            <wp:extent cx="5943600" cy="5448300"/>
            <wp:docPr id="5" name="Picture 5" descr="高频易错点与复习自检详图，辨析白雾、水蒸气、蒸发、沸腾和霜，并列出三项自检问题。" title="高频易错点与复习自检详图，辨析白雾、水蒸气、蒸发、沸腾和霜，并列出三项自检问题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易错点与自检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83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Microsoft YaHei" w:hAnsi="Microsoft YaHei" w:eastAsia="Microsoft YaHei"/>
        <w:color w:val="6B7280"/>
        <w:sz w:val="18"/>
      </w:rPr>
      <w:t xml:space="preserve">第 </w:t>
    </w:r>
    <w:r>
      <w:rPr>
        <w:rFonts w:ascii="Microsoft YaHei" w:hAnsi="Microsoft YaHei" w:eastAsia="Microsoft YaHei"/>
        <w:color w:val="6B7280"/>
        <w:sz w:val="18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Microsoft YaHei" w:hAnsi="Microsoft YaHei" w:eastAsia="Microsoft YaHei"/>
        <w:color w:val="6B7280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left"/>
    </w:pPr>
    <w:r>
      <w:rPr>
        <w:rFonts w:ascii="Microsoft YaHei" w:hAnsi="Microsoft YaHei" w:eastAsia="Microsoft YaHei"/>
        <w:b w:val="0"/>
        <w:color w:val="6B7280"/>
        <w:sz w:val="17"/>
      </w:rPr>
      <w:t>科学基础 · 物质的三态变化 · 学生复习思维导图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Microsoft YaHei" w:hAnsi="Microsoft YaHei" w:eastAsia="Microsoft YaHei"/>
      <w:b w:val="0"/>
      <w:color w:val="18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0B2545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40" w:line="240" w:lineRule="auto"/>
    </w:pPr>
    <w:rPr>
      <w:rFonts w:asciiTheme="majorHAnsi" w:eastAsiaTheme="majorEastAsia" w:hAnsiTheme="majorHAnsi" w:cstheme="majorBidi" w:ascii="Microsoft YaHei" w:hAnsi="Microsoft YaHei" w:eastAsia="Microsoft YaHei"/>
      <w:b w:val="0"/>
      <w:i/>
      <w:iCs/>
      <w:color w:val="5D6B7E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物质的三态变化学生复习思维导图</dc:title>
  <dc:subject>三态粒子模型、六种物态变化、能量规律、水循环与高频易错点</dc:subject>
  <dc:creator>OpenAI Codex</dc:creator>
  <cp:keywords>物态变化,三态,吸热,放热,水循环,思维导图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